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69" w:rsidRDefault="00643A69" w:rsidP="00643A69">
      <w:pPr>
        <w:pStyle w:val="1"/>
        <w:spacing w:line="360" w:lineRule="auto"/>
        <w:jc w:val="center"/>
        <w:rPr>
          <w:b/>
          <w:bCs/>
          <w:sz w:val="24"/>
        </w:rPr>
      </w:pPr>
    </w:p>
    <w:p w:rsidR="00643A69" w:rsidRDefault="00643A69" w:rsidP="00643A69">
      <w:pPr>
        <w:pStyle w:val="1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ИНСТРУКЦИЯ</w:t>
      </w:r>
    </w:p>
    <w:p w:rsidR="00643A69" w:rsidRPr="00643A69" w:rsidRDefault="00643A69" w:rsidP="00643A69">
      <w:pPr>
        <w:spacing w:line="360" w:lineRule="auto"/>
        <w:jc w:val="center"/>
      </w:pPr>
      <w:r>
        <w:t xml:space="preserve">по применению лекарственного препарата </w:t>
      </w:r>
    </w:p>
    <w:p w:rsidR="00643A69" w:rsidRDefault="00643A69" w:rsidP="00643A69">
      <w:pPr>
        <w:spacing w:line="360" w:lineRule="auto"/>
        <w:jc w:val="center"/>
        <w:rPr>
          <w:i/>
          <w:iCs/>
        </w:rPr>
      </w:pPr>
      <w:r>
        <w:t xml:space="preserve">АБИСИЛ </w:t>
      </w:r>
    </w:p>
    <w:p w:rsidR="00643A69" w:rsidRDefault="00643A69" w:rsidP="00643A69">
      <w:pPr>
        <w:ind w:firstLine="540"/>
      </w:pPr>
    </w:p>
    <w:p w:rsidR="00643A69" w:rsidRDefault="00643A69" w:rsidP="00643A69">
      <w:pPr>
        <w:pStyle w:val="2"/>
        <w:ind w:firstLine="0"/>
        <w:rPr>
          <w:sz w:val="24"/>
        </w:rPr>
      </w:pPr>
      <w:r>
        <w:rPr>
          <w:b/>
          <w:bCs/>
          <w:sz w:val="24"/>
        </w:rPr>
        <w:t>Регистрационный номер:</w:t>
      </w:r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№003339/02 </w:t>
      </w:r>
    </w:p>
    <w:p w:rsidR="00643A69" w:rsidRPr="004220BD" w:rsidRDefault="00643A69" w:rsidP="00643A69">
      <w:r>
        <w:rPr>
          <w:b/>
          <w:bCs/>
        </w:rPr>
        <w:t>Торговое название</w:t>
      </w:r>
      <w:r>
        <w:t xml:space="preserve"> –  АБИСИЛ</w:t>
      </w:r>
    </w:p>
    <w:p w:rsidR="00696615" w:rsidRPr="00696615" w:rsidRDefault="00696615" w:rsidP="00643A69">
      <w:r>
        <w:rPr>
          <w:rStyle w:val="s1"/>
          <w:b/>
          <w:bCs/>
          <w:color w:val="000000"/>
          <w:shd w:val="clear" w:color="auto" w:fill="FFFFFF"/>
        </w:rPr>
        <w:t>Международное непатентованное наименование или химическое (</w:t>
      </w:r>
      <w:proofErr w:type="spellStart"/>
      <w:r>
        <w:rPr>
          <w:rStyle w:val="s1"/>
          <w:b/>
          <w:bCs/>
          <w:color w:val="000000"/>
          <w:shd w:val="clear" w:color="auto" w:fill="FFFFFF"/>
        </w:rPr>
        <w:t>группировочное</w:t>
      </w:r>
      <w:proofErr w:type="spellEnd"/>
      <w:r>
        <w:rPr>
          <w:rStyle w:val="s1"/>
          <w:b/>
          <w:bCs/>
          <w:color w:val="000000"/>
          <w:shd w:val="clear" w:color="auto" w:fill="FFFFFF"/>
        </w:rPr>
        <w:t>) наименование: П</w:t>
      </w:r>
      <w:r>
        <w:rPr>
          <w:color w:val="000000"/>
          <w:shd w:val="clear" w:color="auto" w:fill="FFFFFF"/>
        </w:rPr>
        <w:t>ихты сибирской терпены</w:t>
      </w:r>
    </w:p>
    <w:p w:rsidR="00643A69" w:rsidRDefault="00643A69" w:rsidP="00643A69">
      <w:pPr>
        <w:pStyle w:val="4"/>
        <w:rPr>
          <w:b w:val="0"/>
          <w:bCs w:val="0"/>
        </w:rPr>
      </w:pPr>
      <w:r>
        <w:t xml:space="preserve">Лекарственная форма: </w:t>
      </w:r>
      <w:r>
        <w:rPr>
          <w:b w:val="0"/>
          <w:bCs w:val="0"/>
        </w:rPr>
        <w:t>раствор для местного и наружного применения (масляный)</w:t>
      </w:r>
    </w:p>
    <w:p w:rsidR="00643A69" w:rsidRPr="00B14B9D" w:rsidRDefault="00643A69" w:rsidP="00643A69">
      <w:pPr>
        <w:rPr>
          <w:b/>
          <w:bCs/>
          <w:sz w:val="20"/>
        </w:rPr>
      </w:pPr>
    </w:p>
    <w:p w:rsidR="00643A69" w:rsidRDefault="00643A69" w:rsidP="00643A69">
      <w:pPr>
        <w:rPr>
          <w:b/>
          <w:bCs/>
        </w:rPr>
      </w:pPr>
      <w:r>
        <w:rPr>
          <w:b/>
          <w:bCs/>
        </w:rPr>
        <w:t>СОСТАВ:</w:t>
      </w:r>
    </w:p>
    <w:p w:rsidR="00643A69" w:rsidRDefault="00643A69" w:rsidP="00643A69">
      <w:pPr>
        <w:jc w:val="both"/>
      </w:pPr>
      <w:r>
        <w:t xml:space="preserve">Активное вещество:  </w:t>
      </w:r>
      <w:proofErr w:type="spellStart"/>
      <w:r>
        <w:t>Абисила</w:t>
      </w:r>
      <w:proofErr w:type="spellEnd"/>
      <w:r>
        <w:t xml:space="preserve"> (Пихты сибирской</w:t>
      </w:r>
      <w:r w:rsidRPr="00F506CA">
        <w:t xml:space="preserve"> </w:t>
      </w:r>
      <w:r>
        <w:t xml:space="preserve">терпены) </w:t>
      </w:r>
    </w:p>
    <w:p w:rsidR="00643A69" w:rsidRDefault="00643A69" w:rsidP="00643A69">
      <w:pPr>
        <w:jc w:val="both"/>
      </w:pPr>
      <w:r>
        <w:t xml:space="preserve">                                    с содержанием </w:t>
      </w:r>
      <w:proofErr w:type="spellStart"/>
      <w:r>
        <w:t>борнилацетата</w:t>
      </w:r>
      <w:proofErr w:type="spellEnd"/>
      <w:r>
        <w:t xml:space="preserve"> 10,0%                                 - 20,0 г</w:t>
      </w:r>
    </w:p>
    <w:p w:rsidR="00643A69" w:rsidRDefault="00643A69" w:rsidP="00643A69">
      <w:r>
        <w:t>Вспомогательное вещество: Подсолнечника масло                                         - до 100 г</w:t>
      </w:r>
    </w:p>
    <w:p w:rsidR="00643A69" w:rsidRPr="00B14B9D" w:rsidRDefault="00643A69" w:rsidP="00643A69">
      <w:pPr>
        <w:jc w:val="both"/>
        <w:rPr>
          <w:b/>
          <w:bCs/>
          <w:sz w:val="20"/>
        </w:rPr>
      </w:pPr>
    </w:p>
    <w:p w:rsidR="00643A69" w:rsidRDefault="00643A69" w:rsidP="00643A69">
      <w:pPr>
        <w:jc w:val="both"/>
        <w:rPr>
          <w:b/>
          <w:bCs/>
        </w:rPr>
      </w:pPr>
      <w:r>
        <w:rPr>
          <w:b/>
          <w:bCs/>
        </w:rPr>
        <w:t>ОПИСАНИЕ:</w:t>
      </w:r>
    </w:p>
    <w:p w:rsidR="00643A69" w:rsidRDefault="00643A69" w:rsidP="00643A69">
      <w:pPr>
        <w:jc w:val="both"/>
      </w:pPr>
      <w:r>
        <w:rPr>
          <w:sz w:val="20"/>
        </w:rPr>
        <w:t xml:space="preserve"> </w:t>
      </w:r>
      <w:r>
        <w:t>Густая маслянистая жидкость от желтого до молочно-белого цвета со специфическим запахом. При хранении возможно расслоение, исчезающее при встряхивании.</w:t>
      </w:r>
    </w:p>
    <w:p w:rsidR="00643A69" w:rsidRPr="00B14B9D" w:rsidRDefault="00643A69" w:rsidP="00643A69">
      <w:pPr>
        <w:jc w:val="both"/>
        <w:rPr>
          <w:b/>
          <w:bCs/>
          <w:sz w:val="18"/>
        </w:rPr>
      </w:pPr>
    </w:p>
    <w:p w:rsidR="00643A69" w:rsidRDefault="00643A69" w:rsidP="00643A69">
      <w:pPr>
        <w:jc w:val="both"/>
      </w:pPr>
      <w:r>
        <w:rPr>
          <w:b/>
          <w:bCs/>
        </w:rPr>
        <w:t>ФАРМАКОТЕРАПЕВТИЧЕСКАЯ  ГРУППА</w:t>
      </w:r>
      <w:r>
        <w:t xml:space="preserve"> </w:t>
      </w:r>
    </w:p>
    <w:p w:rsidR="00643A69" w:rsidRDefault="00643A69" w:rsidP="00643A69">
      <w:pPr>
        <w:jc w:val="both"/>
      </w:pPr>
      <w:r>
        <w:t>Противовоспалительное средство растительного происхождения</w:t>
      </w:r>
    </w:p>
    <w:p w:rsidR="00643A69" w:rsidRPr="00B14B9D" w:rsidRDefault="00643A69" w:rsidP="00643A69">
      <w:pPr>
        <w:jc w:val="both"/>
        <w:rPr>
          <w:sz w:val="20"/>
        </w:rPr>
      </w:pPr>
    </w:p>
    <w:p w:rsidR="00643A69" w:rsidRPr="00643A69" w:rsidRDefault="00643A69" w:rsidP="00643A69">
      <w:pPr>
        <w:jc w:val="both"/>
        <w:rPr>
          <w:b/>
          <w:bCs/>
        </w:rPr>
      </w:pPr>
      <w:r>
        <w:rPr>
          <w:b/>
          <w:bCs/>
        </w:rPr>
        <w:t xml:space="preserve">КОД  АТХ: </w:t>
      </w:r>
      <w:r w:rsidRPr="00643A69">
        <w:rPr>
          <w:b/>
          <w:bCs/>
        </w:rPr>
        <w:t>[</w:t>
      </w:r>
      <w:r>
        <w:rPr>
          <w:b/>
          <w:bCs/>
          <w:lang w:val="en-US"/>
        </w:rPr>
        <w:t>D</w:t>
      </w:r>
      <w:r w:rsidRPr="00643A69">
        <w:rPr>
          <w:b/>
          <w:bCs/>
        </w:rPr>
        <w:t>06</w:t>
      </w:r>
      <w:r>
        <w:rPr>
          <w:b/>
          <w:bCs/>
          <w:lang w:val="en-US"/>
        </w:rPr>
        <w:t>BX</w:t>
      </w:r>
      <w:r w:rsidRPr="00643A69">
        <w:rPr>
          <w:b/>
          <w:bCs/>
        </w:rPr>
        <w:t>]</w:t>
      </w:r>
    </w:p>
    <w:p w:rsidR="00643A69" w:rsidRPr="00B14B9D" w:rsidRDefault="00643A69" w:rsidP="00643A69">
      <w:pPr>
        <w:pStyle w:val="a3"/>
        <w:ind w:firstLine="0"/>
        <w:rPr>
          <w:b/>
          <w:bCs/>
          <w:sz w:val="20"/>
        </w:rPr>
      </w:pPr>
    </w:p>
    <w:p w:rsidR="00643A69" w:rsidRDefault="00643A69" w:rsidP="00643A69">
      <w:pPr>
        <w:pStyle w:val="a3"/>
        <w:ind w:firstLine="0"/>
        <w:rPr>
          <w:b/>
          <w:bCs/>
          <w:sz w:val="24"/>
        </w:rPr>
      </w:pPr>
      <w:r>
        <w:rPr>
          <w:b/>
          <w:bCs/>
          <w:sz w:val="24"/>
        </w:rPr>
        <w:t>ФАРМАКОЛОГИЧЕСКИЕ СВОЙСТВА</w:t>
      </w:r>
    </w:p>
    <w:p w:rsidR="00643A69" w:rsidRDefault="00643A69" w:rsidP="00643A69">
      <w:pPr>
        <w:pStyle w:val="a3"/>
        <w:ind w:firstLine="0"/>
        <w:rPr>
          <w:sz w:val="24"/>
        </w:rPr>
      </w:pPr>
      <w:r>
        <w:rPr>
          <w:sz w:val="24"/>
        </w:rPr>
        <w:t xml:space="preserve">Препарат оказывает выраженное противовоспалительное, ранозаживляющее, антибактериальное, обезболивающее, </w:t>
      </w:r>
      <w:proofErr w:type="spellStart"/>
      <w:r>
        <w:rPr>
          <w:sz w:val="24"/>
        </w:rPr>
        <w:t>антиэкссудативное</w:t>
      </w:r>
      <w:proofErr w:type="spellEnd"/>
      <w:r>
        <w:rPr>
          <w:sz w:val="24"/>
        </w:rPr>
        <w:t xml:space="preserve"> действие, обусловленное свойствами природных </w:t>
      </w:r>
      <w:proofErr w:type="spellStart"/>
      <w:r>
        <w:rPr>
          <w:sz w:val="24"/>
        </w:rPr>
        <w:t>терпеноидов</w:t>
      </w:r>
      <w:proofErr w:type="spellEnd"/>
      <w:r>
        <w:rPr>
          <w:sz w:val="24"/>
        </w:rPr>
        <w:t xml:space="preserve">, входящих в его состав. Обладает широким спектром противомикробной активности в отношении грамположительных и грамотрицательных бактерий, в том числе и к </w:t>
      </w:r>
      <w:proofErr w:type="spellStart"/>
      <w:r>
        <w:rPr>
          <w:sz w:val="24"/>
        </w:rPr>
        <w:t>антибиотикоустойчивым</w:t>
      </w:r>
      <w:proofErr w:type="spellEnd"/>
      <w:r>
        <w:rPr>
          <w:sz w:val="24"/>
        </w:rPr>
        <w:t xml:space="preserve"> штаммам. Создает оптимальные условия для заживления раневой поверхности мягких тканей, ускоряет процесс </w:t>
      </w:r>
      <w:proofErr w:type="spellStart"/>
      <w:r>
        <w:rPr>
          <w:sz w:val="24"/>
        </w:rPr>
        <w:t>эпителизации</w:t>
      </w:r>
      <w:proofErr w:type="spellEnd"/>
      <w:r>
        <w:rPr>
          <w:sz w:val="24"/>
        </w:rPr>
        <w:t xml:space="preserve">, улучшает микроциркуляцию. При местном применении не всасывается и не оказывает </w:t>
      </w:r>
      <w:proofErr w:type="spellStart"/>
      <w:r>
        <w:rPr>
          <w:sz w:val="24"/>
        </w:rPr>
        <w:t>местнораздражающего</w:t>
      </w:r>
      <w:proofErr w:type="spellEnd"/>
      <w:r>
        <w:rPr>
          <w:sz w:val="24"/>
        </w:rPr>
        <w:t xml:space="preserve"> действия. Препарат не обладает токсическими свойствами, тератогенных, мутагенных и канцерогенных эффектов не выявлено, что позволяет его применять во всех возрастных группах</w:t>
      </w:r>
    </w:p>
    <w:p w:rsidR="00643A69" w:rsidRDefault="00643A69" w:rsidP="00643A69">
      <w:pPr>
        <w:pStyle w:val="6"/>
        <w:ind w:firstLine="0"/>
        <w:rPr>
          <w:sz w:val="24"/>
        </w:rPr>
      </w:pPr>
    </w:p>
    <w:p w:rsidR="00643A69" w:rsidRDefault="00643A69" w:rsidP="00643A69">
      <w:pPr>
        <w:pStyle w:val="6"/>
        <w:ind w:firstLine="0"/>
        <w:rPr>
          <w:sz w:val="24"/>
        </w:rPr>
      </w:pPr>
      <w:r>
        <w:rPr>
          <w:sz w:val="24"/>
        </w:rPr>
        <w:t xml:space="preserve">ПОКАЗАНИЯ К ПРИМЕНЕНИЮ </w:t>
      </w:r>
    </w:p>
    <w:p w:rsidR="00643A69" w:rsidRPr="009F6842" w:rsidRDefault="00643A69" w:rsidP="00643A69">
      <w:pPr>
        <w:jc w:val="both"/>
      </w:pPr>
      <w:r>
        <w:rPr>
          <w:b/>
          <w:bCs/>
        </w:rPr>
        <w:t xml:space="preserve">В общехирургической практике: </w:t>
      </w:r>
      <w:r>
        <w:t>гнойно-воспалительные заболевания кожи и мягких</w:t>
      </w:r>
      <w:r>
        <w:rPr>
          <w:b/>
          <w:bCs/>
        </w:rPr>
        <w:t xml:space="preserve"> </w:t>
      </w:r>
      <w:r>
        <w:t xml:space="preserve">тканей  </w:t>
      </w:r>
      <w:r w:rsidRPr="009F6842">
        <w:t>(</w:t>
      </w:r>
      <w:r>
        <w:t>трофические язвы и длительно незаживающие гнойные послеоперационные и пост</w:t>
      </w:r>
      <w:r>
        <w:softHyphen/>
        <w:t>травматические раны, свищи, пролежни, ожоги и обморожения,  абсцессы и флегмоны, в том числе челюстно-лицевой области</w:t>
      </w:r>
      <w:r w:rsidRPr="009F6842">
        <w:t>)</w:t>
      </w:r>
      <w:r>
        <w:t>.</w:t>
      </w:r>
    </w:p>
    <w:p w:rsidR="00643A69" w:rsidRDefault="00643A69" w:rsidP="00643A69">
      <w:pPr>
        <w:jc w:val="both"/>
        <w:rPr>
          <w:b/>
          <w:bCs/>
        </w:rPr>
      </w:pPr>
      <w:r>
        <w:rPr>
          <w:b/>
          <w:bCs/>
        </w:rPr>
        <w:t xml:space="preserve">В стоматологии: </w:t>
      </w:r>
      <w:r>
        <w:t xml:space="preserve"> стоматиты, пародонтоз, гингивит, </w:t>
      </w:r>
      <w:proofErr w:type="spellStart"/>
      <w:r>
        <w:t>альвеолит</w:t>
      </w:r>
      <w:proofErr w:type="spellEnd"/>
      <w:r>
        <w:t xml:space="preserve">, осложнения при протезировании зубов. </w:t>
      </w:r>
    </w:p>
    <w:p w:rsidR="00643A69" w:rsidRDefault="00643A69" w:rsidP="00643A69">
      <w:pPr>
        <w:jc w:val="both"/>
      </w:pPr>
      <w:r>
        <w:rPr>
          <w:b/>
          <w:bCs/>
        </w:rPr>
        <w:t xml:space="preserve">В оториноларингологии:  </w:t>
      </w:r>
      <w:r>
        <w:t xml:space="preserve">отит, </w:t>
      </w:r>
      <w:proofErr w:type="spellStart"/>
      <w:r>
        <w:t>евстахиит</w:t>
      </w:r>
      <w:proofErr w:type="spellEnd"/>
      <w:r>
        <w:t xml:space="preserve">, синусит, ринит, </w:t>
      </w:r>
      <w:proofErr w:type="spellStart"/>
      <w:r>
        <w:t>ринофарингит</w:t>
      </w:r>
      <w:proofErr w:type="spellEnd"/>
      <w:r>
        <w:t xml:space="preserve">, фарингит, тонзиллит, состояния после </w:t>
      </w:r>
      <w:proofErr w:type="spellStart"/>
      <w:r>
        <w:t>тонзиллэктомии</w:t>
      </w:r>
      <w:proofErr w:type="spellEnd"/>
      <w:r>
        <w:t>, ларингит и т.д.</w:t>
      </w:r>
    </w:p>
    <w:p w:rsidR="00643A69" w:rsidRDefault="00643A69" w:rsidP="00643A69">
      <w:r>
        <w:rPr>
          <w:b/>
          <w:bCs/>
        </w:rPr>
        <w:t xml:space="preserve"> В дерматологии: </w:t>
      </w:r>
      <w:r>
        <w:t xml:space="preserve"> рожистое воспаление, пиодермии.</w:t>
      </w:r>
    </w:p>
    <w:p w:rsidR="00643A69" w:rsidRDefault="00643A69" w:rsidP="00643A69"/>
    <w:p w:rsidR="00643A69" w:rsidRDefault="00643A69" w:rsidP="00643A69">
      <w:pPr>
        <w:pStyle w:val="7"/>
        <w:spacing w:line="240" w:lineRule="auto"/>
        <w:ind w:firstLine="0"/>
        <w:rPr>
          <w:sz w:val="24"/>
        </w:rPr>
      </w:pPr>
      <w:r>
        <w:rPr>
          <w:sz w:val="24"/>
        </w:rPr>
        <w:lastRenderedPageBreak/>
        <w:t>ПРОТИВОПОКАЗАНИЯ</w:t>
      </w:r>
    </w:p>
    <w:p w:rsidR="00643A69" w:rsidRDefault="00643A69" w:rsidP="00643A69">
      <w:r>
        <w:t>Индивидуальная непереносимость</w:t>
      </w:r>
    </w:p>
    <w:p w:rsidR="00643A69" w:rsidRDefault="00643A69" w:rsidP="00643A69"/>
    <w:p w:rsidR="00643A69" w:rsidRDefault="00643A69" w:rsidP="00643A69"/>
    <w:p w:rsidR="00643A69" w:rsidRDefault="00643A69" w:rsidP="00643A69">
      <w:pPr>
        <w:jc w:val="both"/>
      </w:pPr>
    </w:p>
    <w:p w:rsidR="00643A69" w:rsidRDefault="00643A69" w:rsidP="00643A69">
      <w:pPr>
        <w:jc w:val="both"/>
      </w:pPr>
    </w:p>
    <w:p w:rsidR="00643A69" w:rsidRDefault="00643A69" w:rsidP="00643A69">
      <w:pPr>
        <w:jc w:val="both"/>
        <w:rPr>
          <w:b/>
          <w:bCs/>
        </w:rPr>
      </w:pPr>
      <w:r>
        <w:rPr>
          <w:b/>
          <w:bCs/>
        </w:rPr>
        <w:t>СПОСОБЫ ПРИМЕНЕНИЯ И ДОЗЫ</w:t>
      </w:r>
    </w:p>
    <w:p w:rsidR="00643A69" w:rsidRDefault="00643A69" w:rsidP="00643A69">
      <w:pPr>
        <w:jc w:val="both"/>
      </w:pPr>
      <w:r>
        <w:t xml:space="preserve">Применяют </w:t>
      </w:r>
      <w:proofErr w:type="spellStart"/>
      <w:r>
        <w:t>местно</w:t>
      </w:r>
      <w:proofErr w:type="spellEnd"/>
      <w:r>
        <w:t>, наружно.</w:t>
      </w:r>
    </w:p>
    <w:p w:rsidR="00643A69" w:rsidRDefault="00643A69" w:rsidP="00643A69">
      <w:pPr>
        <w:jc w:val="both"/>
        <w:rPr>
          <w:b/>
          <w:bCs/>
        </w:rPr>
      </w:pPr>
      <w:r>
        <w:rPr>
          <w:b/>
          <w:bCs/>
        </w:rPr>
        <w:t xml:space="preserve">При гнойно-воспалительных заболеваниях кожи и мягких тканей </w:t>
      </w:r>
      <w:r>
        <w:t xml:space="preserve">предварительно проводят хирургическую обработку раневой поверхности и затем наносят препарат 1 - 2 раза в сутки равномерным тонким слоем. Длительность лечения зависит от формы и тяжести заболевания (обычно 5 – 10 дней) и заканчивается при появлении свежих грануляций, островков эпителия или полной </w:t>
      </w:r>
      <w:proofErr w:type="spellStart"/>
      <w:r>
        <w:t>эпителизации</w:t>
      </w:r>
      <w:proofErr w:type="spellEnd"/>
      <w:r>
        <w:t>.</w:t>
      </w:r>
    </w:p>
    <w:p w:rsidR="00643A69" w:rsidRDefault="00643A69" w:rsidP="00643A69">
      <w:pPr>
        <w:jc w:val="both"/>
        <w:rPr>
          <w:b/>
          <w:bCs/>
        </w:rPr>
      </w:pPr>
      <w:r>
        <w:rPr>
          <w:b/>
          <w:bCs/>
        </w:rPr>
        <w:t xml:space="preserve">При воспалительных процессах в челюстно-лицевой области </w:t>
      </w:r>
      <w:r>
        <w:t xml:space="preserve">после вскрытия и хирургической обработки абсцессов и флегмон в карманы и послеоперационные раны вводят тампоны, пропитанные раствором </w:t>
      </w:r>
      <w:proofErr w:type="spellStart"/>
      <w:r>
        <w:t>Абисила</w:t>
      </w:r>
      <w:proofErr w:type="spellEnd"/>
      <w:r>
        <w:t>. Процедуру повторяют ежедневно 5 – 7 дней</w:t>
      </w:r>
    </w:p>
    <w:p w:rsidR="00643A69" w:rsidRDefault="00643A69" w:rsidP="00643A69">
      <w:pPr>
        <w:jc w:val="both"/>
        <w:rPr>
          <w:b/>
          <w:bCs/>
        </w:rPr>
      </w:pPr>
      <w:r>
        <w:rPr>
          <w:b/>
          <w:bCs/>
        </w:rPr>
        <w:t xml:space="preserve">При заболеваниях полости рта </w:t>
      </w:r>
      <w:r>
        <w:t>обрабатывать пораженную поверхность слизистой оболочки 2 – 3 раза в день или применять турунды, смоченные препаратом.</w:t>
      </w:r>
    </w:p>
    <w:p w:rsidR="00643A69" w:rsidRDefault="00643A69" w:rsidP="00643A69">
      <w:pPr>
        <w:jc w:val="both"/>
      </w:pPr>
      <w:r>
        <w:rPr>
          <w:b/>
          <w:bCs/>
        </w:rPr>
        <w:t xml:space="preserve">При отитах </w:t>
      </w:r>
      <w:r>
        <w:t>– ввести в наружный слуховой проход тампон, смоченный препаратом.</w:t>
      </w:r>
    </w:p>
    <w:p w:rsidR="00643A69" w:rsidRDefault="00643A69" w:rsidP="00643A69">
      <w:pPr>
        <w:jc w:val="both"/>
      </w:pPr>
      <w:r>
        <w:rPr>
          <w:b/>
          <w:bCs/>
        </w:rPr>
        <w:t xml:space="preserve">При лечении ринита, синусита </w:t>
      </w:r>
      <w:r>
        <w:t>закапывают в каждый носовой ход по 1-2 капли 3-4 раза в день. При гайморитах препарат вводят в гайморову пазуху после ее предварительной санации.</w:t>
      </w:r>
    </w:p>
    <w:p w:rsidR="00643A69" w:rsidRDefault="00643A69" w:rsidP="00643A69">
      <w:pPr>
        <w:jc w:val="both"/>
        <w:rPr>
          <w:b/>
          <w:bCs/>
        </w:rPr>
      </w:pPr>
      <w:r>
        <w:rPr>
          <w:b/>
          <w:bCs/>
        </w:rPr>
        <w:t>При лечении тонзиллита и других воспалительных заболеваний горла</w:t>
      </w:r>
      <w:r>
        <w:t xml:space="preserve"> – обрабатывать препаратом слизистые оболочки 2 – 3 раза в сутки.</w:t>
      </w:r>
    </w:p>
    <w:p w:rsidR="00643A69" w:rsidRDefault="00643A69" w:rsidP="00643A69">
      <w:pPr>
        <w:jc w:val="both"/>
      </w:pPr>
      <w:r>
        <w:rPr>
          <w:b/>
          <w:bCs/>
        </w:rPr>
        <w:t>При заболеваниях кожи</w:t>
      </w:r>
      <w:r>
        <w:t xml:space="preserve"> – препарат наносят 1 – 3 раза в сутки тонким слоем на пораженные участки. Продолжительность курса индивидуальна и зависит от тяжести заболевания.</w:t>
      </w:r>
    </w:p>
    <w:p w:rsidR="00643A69" w:rsidRPr="00B14B9D" w:rsidRDefault="00643A69" w:rsidP="00643A69">
      <w:pPr>
        <w:jc w:val="both"/>
        <w:rPr>
          <w:sz w:val="10"/>
        </w:rPr>
      </w:pPr>
    </w:p>
    <w:p w:rsidR="00643A69" w:rsidRDefault="00643A69" w:rsidP="00643A69">
      <w:pPr>
        <w:pStyle w:val="7"/>
        <w:spacing w:line="240" w:lineRule="auto"/>
        <w:ind w:firstLine="0"/>
        <w:rPr>
          <w:sz w:val="24"/>
        </w:rPr>
      </w:pPr>
    </w:p>
    <w:p w:rsidR="00643A69" w:rsidRDefault="00643A69" w:rsidP="00643A69">
      <w:pPr>
        <w:pStyle w:val="7"/>
        <w:spacing w:line="240" w:lineRule="auto"/>
        <w:ind w:firstLine="0"/>
        <w:rPr>
          <w:sz w:val="24"/>
        </w:rPr>
      </w:pPr>
      <w:r>
        <w:rPr>
          <w:sz w:val="24"/>
        </w:rPr>
        <w:t>ПОБОЧНОЕ ДЕЙСТВИЕ</w:t>
      </w:r>
    </w:p>
    <w:p w:rsidR="00643A69" w:rsidRDefault="00643A69" w:rsidP="00643A69">
      <w:pPr>
        <w:jc w:val="both"/>
      </w:pPr>
      <w:r>
        <w:t xml:space="preserve">Кратковременное жжение в месте нанесения препарата. У лиц с повышенной чувствительностью к эфирным маслам возможны аллергические реакции. </w:t>
      </w:r>
    </w:p>
    <w:p w:rsidR="00643A69" w:rsidRDefault="00643A69" w:rsidP="00643A69">
      <w:pPr>
        <w:pStyle w:val="7"/>
        <w:spacing w:line="240" w:lineRule="auto"/>
        <w:ind w:firstLine="0"/>
        <w:rPr>
          <w:sz w:val="24"/>
        </w:rPr>
      </w:pPr>
    </w:p>
    <w:p w:rsidR="00643A69" w:rsidRDefault="00643A69" w:rsidP="00643A69">
      <w:pPr>
        <w:pStyle w:val="21"/>
        <w:spacing w:line="240" w:lineRule="auto"/>
        <w:ind w:firstLine="0"/>
        <w:rPr>
          <w:sz w:val="24"/>
          <w:u w:val="single"/>
        </w:rPr>
      </w:pPr>
      <w:r>
        <w:rPr>
          <w:sz w:val="24"/>
        </w:rPr>
        <w:t>ВЗАИМОДЕЙСТВИЕ С ДРУГИМИ ЛЕКАРСТВЕННЫМИ ПРЕПАРТАМИ</w:t>
      </w:r>
    </w:p>
    <w:p w:rsidR="00643A69" w:rsidRDefault="00643A69" w:rsidP="00643A69">
      <w:pPr>
        <w:jc w:val="both"/>
      </w:pPr>
      <w:r>
        <w:t>Не следует комбинировать с другими наружными средствами.</w:t>
      </w:r>
    </w:p>
    <w:p w:rsidR="00643A69" w:rsidRDefault="00643A69" w:rsidP="00643A69">
      <w:pPr>
        <w:jc w:val="both"/>
      </w:pPr>
    </w:p>
    <w:p w:rsidR="00643A69" w:rsidRDefault="00643A69" w:rsidP="00643A69">
      <w:pPr>
        <w:pStyle w:val="8"/>
      </w:pPr>
      <w:r>
        <w:t>ОСОБЫЕ УКАЗАНИЯ</w:t>
      </w:r>
    </w:p>
    <w:p w:rsidR="00643A69" w:rsidRDefault="00643A69" w:rsidP="00643A69">
      <w:pPr>
        <w:jc w:val="both"/>
      </w:pPr>
      <w:r>
        <w:t>Перед применением флакон с препаратом необходимо взбалтывать.</w:t>
      </w:r>
    </w:p>
    <w:p w:rsidR="00643A69" w:rsidRDefault="00643A69" w:rsidP="00643A69">
      <w:pPr>
        <w:jc w:val="both"/>
      </w:pPr>
      <w:r>
        <w:t>Не допускать попадания препарата на конъюнктиву глаза, при попадании достаточно промыть глаз водой.</w:t>
      </w:r>
    </w:p>
    <w:p w:rsidR="00643A69" w:rsidRDefault="00643A69" w:rsidP="00643A69">
      <w:pPr>
        <w:jc w:val="both"/>
      </w:pPr>
      <w:r>
        <w:t>Не следует наносить на влажную кожу.</w:t>
      </w:r>
    </w:p>
    <w:p w:rsidR="00643A69" w:rsidRDefault="00643A69" w:rsidP="00643A69">
      <w:pPr>
        <w:pStyle w:val="7"/>
        <w:spacing w:line="240" w:lineRule="auto"/>
        <w:ind w:firstLine="0"/>
        <w:rPr>
          <w:sz w:val="24"/>
        </w:rPr>
      </w:pPr>
    </w:p>
    <w:p w:rsidR="00643A69" w:rsidRDefault="00643A69" w:rsidP="00643A69">
      <w:pPr>
        <w:pStyle w:val="7"/>
        <w:spacing w:line="240" w:lineRule="auto"/>
        <w:ind w:firstLine="0"/>
        <w:rPr>
          <w:sz w:val="24"/>
        </w:rPr>
      </w:pPr>
      <w:r>
        <w:rPr>
          <w:sz w:val="24"/>
        </w:rPr>
        <w:t>ФОРМА ВЫПУСКА</w:t>
      </w:r>
    </w:p>
    <w:p w:rsidR="00643A69" w:rsidRDefault="00643A69" w:rsidP="00643A69">
      <w:pPr>
        <w:jc w:val="both"/>
      </w:pPr>
      <w:r>
        <w:t>Раствор для местного и наружного применения 20% (масляный). По 5, 10, 15, 20, 30 и 50 мл во флаконы оранжевого стекла. По 15, 20 и 25 мл во флаконы-капельницы из  оранжевого стекла. Каждый флакон или флакон-капельницу вместе с инструкцией по применению помещают в пачку из картона.</w:t>
      </w:r>
    </w:p>
    <w:p w:rsidR="00643A69" w:rsidRDefault="00643A69" w:rsidP="00643A69">
      <w:pPr>
        <w:pStyle w:val="3"/>
        <w:spacing w:line="240" w:lineRule="auto"/>
        <w:ind w:left="0"/>
        <w:rPr>
          <w:sz w:val="24"/>
          <w:u w:val="none"/>
        </w:rPr>
      </w:pPr>
    </w:p>
    <w:p w:rsidR="00643A69" w:rsidRDefault="00643A69" w:rsidP="00643A69">
      <w:pPr>
        <w:pStyle w:val="3"/>
        <w:spacing w:line="240" w:lineRule="auto"/>
        <w:ind w:left="0"/>
        <w:rPr>
          <w:sz w:val="24"/>
          <w:u w:val="none"/>
        </w:rPr>
      </w:pPr>
      <w:r>
        <w:rPr>
          <w:sz w:val="24"/>
          <w:u w:val="none"/>
        </w:rPr>
        <w:t>УСЛОВИЯ  ХРАНЕНИЯ</w:t>
      </w:r>
    </w:p>
    <w:p w:rsidR="00643A69" w:rsidRDefault="00643A69" w:rsidP="00643A69">
      <w:pPr>
        <w:jc w:val="both"/>
      </w:pPr>
      <w:r>
        <w:t>В сухом, защищенном от света,  при температуре не выше 25</w:t>
      </w:r>
      <w:r>
        <w:sym w:font="Symbol" w:char="F0B0"/>
      </w:r>
      <w:r>
        <w:t>С.</w:t>
      </w:r>
    </w:p>
    <w:p w:rsidR="00643A69" w:rsidRDefault="00643A69" w:rsidP="00643A69">
      <w:pPr>
        <w:jc w:val="both"/>
      </w:pPr>
      <w:r>
        <w:t>Хранить в недоступном для детей месте.</w:t>
      </w:r>
    </w:p>
    <w:p w:rsidR="00643A69" w:rsidRDefault="00643A69" w:rsidP="00643A69">
      <w:pPr>
        <w:jc w:val="both"/>
      </w:pPr>
    </w:p>
    <w:p w:rsidR="00643A69" w:rsidRDefault="00643A69" w:rsidP="00643A69">
      <w:pPr>
        <w:pStyle w:val="3"/>
        <w:spacing w:line="240" w:lineRule="auto"/>
        <w:ind w:left="0"/>
        <w:rPr>
          <w:sz w:val="24"/>
          <w:u w:val="none"/>
        </w:rPr>
      </w:pPr>
    </w:p>
    <w:p w:rsidR="00643A69" w:rsidRDefault="00643A69" w:rsidP="00643A69">
      <w:pPr>
        <w:pStyle w:val="3"/>
        <w:spacing w:line="240" w:lineRule="auto"/>
        <w:ind w:left="0"/>
        <w:rPr>
          <w:sz w:val="24"/>
          <w:u w:val="none"/>
        </w:rPr>
      </w:pPr>
      <w:r>
        <w:rPr>
          <w:sz w:val="24"/>
          <w:u w:val="none"/>
        </w:rPr>
        <w:t>СРОК  ХРАНЕНИЯ</w:t>
      </w:r>
    </w:p>
    <w:p w:rsidR="00643A69" w:rsidRDefault="00643A69" w:rsidP="00643A69">
      <w:pPr>
        <w:jc w:val="both"/>
      </w:pPr>
      <w:r>
        <w:t>4 года. Не использовать после срока, указанного на упаковке.</w:t>
      </w:r>
    </w:p>
    <w:p w:rsidR="00643A69" w:rsidRDefault="00643A69" w:rsidP="00643A69">
      <w:pPr>
        <w:pStyle w:val="3"/>
        <w:spacing w:line="240" w:lineRule="auto"/>
        <w:ind w:left="0"/>
        <w:rPr>
          <w:sz w:val="24"/>
          <w:u w:val="none"/>
        </w:rPr>
      </w:pPr>
    </w:p>
    <w:p w:rsidR="00643A69" w:rsidRPr="00C67D4F" w:rsidRDefault="00643A69" w:rsidP="00643A69"/>
    <w:p w:rsidR="00643A69" w:rsidRDefault="00643A69" w:rsidP="00643A69">
      <w:pPr>
        <w:pStyle w:val="3"/>
        <w:spacing w:line="240" w:lineRule="auto"/>
        <w:ind w:left="0"/>
        <w:rPr>
          <w:sz w:val="24"/>
          <w:u w:val="none"/>
        </w:rPr>
      </w:pPr>
      <w:r>
        <w:rPr>
          <w:sz w:val="24"/>
          <w:u w:val="none"/>
        </w:rPr>
        <w:t>УСЛОВИЯ ОТПУСКА ИЗ АПТЕК</w:t>
      </w:r>
    </w:p>
    <w:p w:rsidR="00643A69" w:rsidRDefault="00643A69" w:rsidP="00643A69">
      <w:pPr>
        <w:jc w:val="both"/>
      </w:pPr>
      <w:r>
        <w:t xml:space="preserve"> Без рецепта.</w:t>
      </w:r>
    </w:p>
    <w:p w:rsidR="00643A69" w:rsidRDefault="00643A69" w:rsidP="00643A69">
      <w:pPr>
        <w:pStyle w:val="7"/>
        <w:spacing w:line="240" w:lineRule="auto"/>
        <w:ind w:firstLine="0"/>
        <w:rPr>
          <w:sz w:val="24"/>
        </w:rPr>
      </w:pPr>
    </w:p>
    <w:p w:rsidR="00643A69" w:rsidRDefault="00643A69" w:rsidP="00643A69">
      <w:pPr>
        <w:pStyle w:val="7"/>
        <w:spacing w:line="240" w:lineRule="auto"/>
        <w:ind w:firstLine="0"/>
        <w:rPr>
          <w:sz w:val="24"/>
        </w:rPr>
      </w:pPr>
      <w:r>
        <w:rPr>
          <w:sz w:val="24"/>
        </w:rPr>
        <w:t>ПРОИЗВОДИТЕЛЬ/ОРГАНИЗАЦИЯ, ПРИНИМАЮЩАЯ ПРЕТЕНЗИИ</w:t>
      </w:r>
    </w:p>
    <w:p w:rsidR="00643A69" w:rsidRDefault="00643A69" w:rsidP="00643A69">
      <w:pPr>
        <w:spacing w:line="192" w:lineRule="auto"/>
        <w:jc w:val="both"/>
      </w:pPr>
      <w:r>
        <w:t>ОАО «</w:t>
      </w:r>
      <w:proofErr w:type="spellStart"/>
      <w:r>
        <w:t>Татхимфармпрепараты</w:t>
      </w:r>
      <w:proofErr w:type="spellEnd"/>
      <w:r>
        <w:t>», Россия,</w:t>
      </w: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  <w:r>
        <w:t>420091, г. Казань, ул. Беломорская, 260</w:t>
      </w: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  <w:r>
        <w:t>(843) тел.571-85-58; факс 571-85-38</w:t>
      </w:r>
    </w:p>
    <w:p w:rsidR="00643A69" w:rsidRDefault="00643A69" w:rsidP="00643A69">
      <w:pPr>
        <w:spacing w:line="192" w:lineRule="auto"/>
        <w:jc w:val="both"/>
      </w:pPr>
    </w:p>
    <w:p w:rsidR="00643A69" w:rsidRPr="00E17D52" w:rsidRDefault="00643A69" w:rsidP="00643A69">
      <w:pPr>
        <w:spacing w:line="192" w:lineRule="auto"/>
        <w:jc w:val="both"/>
      </w:pPr>
      <w:r>
        <w:rPr>
          <w:lang w:val="en-US"/>
        </w:rPr>
        <w:t>E</w:t>
      </w:r>
      <w:r w:rsidRPr="00643A69">
        <w:t>-</w:t>
      </w:r>
      <w:r>
        <w:rPr>
          <w:lang w:val="en-US"/>
        </w:rPr>
        <w:t>mail</w:t>
      </w:r>
      <w:r w:rsidRPr="00643A69">
        <w:t xml:space="preserve">: </w:t>
      </w:r>
      <w:r>
        <w:rPr>
          <w:lang w:val="en-US"/>
        </w:rPr>
        <w:t>marketing</w:t>
      </w:r>
      <w:r w:rsidRPr="00643A69">
        <w:t>@</w:t>
      </w:r>
      <w:proofErr w:type="spellStart"/>
      <w:r>
        <w:rPr>
          <w:lang w:val="en-US"/>
        </w:rPr>
        <w:t>tatpharm</w:t>
      </w:r>
      <w:proofErr w:type="spellEnd"/>
      <w:r w:rsidRPr="00643A69">
        <w:t>.</w:t>
      </w:r>
      <w:proofErr w:type="spellStart"/>
      <w:r>
        <w:rPr>
          <w:lang w:val="en-US"/>
        </w:rPr>
        <w:t>ru</w:t>
      </w:r>
      <w:proofErr w:type="spellEnd"/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  <w:rPr>
          <w:b/>
        </w:rPr>
      </w:pPr>
      <w:r w:rsidRPr="00643A69">
        <w:rPr>
          <w:b/>
        </w:rPr>
        <w:t>ВЛАДЕЛЕЦ РЕГИСТРАЦИОННОГО УДОСТОВЕРЕНИЯ</w:t>
      </w:r>
    </w:p>
    <w:p w:rsidR="00643A69" w:rsidRDefault="00643A69" w:rsidP="00643A69">
      <w:pPr>
        <w:spacing w:line="192" w:lineRule="auto"/>
        <w:jc w:val="both"/>
        <w:rPr>
          <w:b/>
        </w:rPr>
      </w:pPr>
    </w:p>
    <w:p w:rsidR="00643A69" w:rsidRPr="00643A69" w:rsidRDefault="00643A69" w:rsidP="00643A69">
      <w:pPr>
        <w:spacing w:line="192" w:lineRule="auto"/>
        <w:jc w:val="both"/>
      </w:pPr>
      <w:r w:rsidRPr="00643A69">
        <w:t>ООО «</w:t>
      </w:r>
      <w:proofErr w:type="spellStart"/>
      <w:r w:rsidRPr="00643A69">
        <w:t>Инитиум-Фарм</w:t>
      </w:r>
      <w:proofErr w:type="spellEnd"/>
      <w:r w:rsidRPr="00643A69">
        <w:t xml:space="preserve">», Россия </w:t>
      </w:r>
    </w:p>
    <w:p w:rsidR="00643A69" w:rsidRDefault="00643A69" w:rsidP="00643A69">
      <w:pPr>
        <w:pStyle w:val="p7"/>
        <w:shd w:val="clear" w:color="auto" w:fill="FFFFFF"/>
        <w:rPr>
          <w:color w:val="000000"/>
        </w:rPr>
      </w:pPr>
      <w:r>
        <w:rPr>
          <w:color w:val="000000"/>
        </w:rPr>
        <w:t>142000, Московская область,</w:t>
      </w:r>
    </w:p>
    <w:p w:rsidR="00643A69" w:rsidRDefault="00643A69" w:rsidP="00643A69">
      <w:pPr>
        <w:pStyle w:val="p7"/>
        <w:shd w:val="clear" w:color="auto" w:fill="FFFFFF"/>
        <w:rPr>
          <w:color w:val="000000"/>
        </w:rPr>
      </w:pPr>
      <w:r>
        <w:rPr>
          <w:color w:val="000000"/>
        </w:rPr>
        <w:t>г. Домодедово, Каширское ш., д. 7</w:t>
      </w:r>
    </w:p>
    <w:p w:rsidR="00643A69" w:rsidRDefault="00643A69" w:rsidP="00643A69">
      <w:pPr>
        <w:pStyle w:val="p7"/>
        <w:shd w:val="clear" w:color="auto" w:fill="FFFFFF"/>
        <w:rPr>
          <w:color w:val="000000"/>
        </w:rPr>
      </w:pPr>
      <w:r>
        <w:rPr>
          <w:color w:val="000000"/>
        </w:rPr>
        <w:t>тел.: +</w:t>
      </w:r>
      <w:r w:rsidR="004220BD">
        <w:rPr>
          <w:color w:val="000000"/>
        </w:rPr>
        <w:t>8 800 234-83-04</w:t>
      </w:r>
      <w:bookmarkStart w:id="0" w:name="_GoBack"/>
      <w:bookmarkEnd w:id="0"/>
    </w:p>
    <w:p w:rsidR="00643A69" w:rsidRDefault="004220BD" w:rsidP="00643A69">
      <w:pPr>
        <w:pStyle w:val="p7"/>
        <w:shd w:val="clear" w:color="auto" w:fill="FFFFFF"/>
        <w:rPr>
          <w:color w:val="000000"/>
        </w:rPr>
      </w:pPr>
      <w:hyperlink r:id="rId5" w:history="1">
        <w:r w:rsidR="00643A69" w:rsidRPr="008E12B8">
          <w:rPr>
            <w:rStyle w:val="a5"/>
          </w:rPr>
          <w:t>www.initium-pharm.com</w:t>
        </w:r>
      </w:hyperlink>
    </w:p>
    <w:p w:rsidR="00643A69" w:rsidRPr="00643A69" w:rsidRDefault="00643A69" w:rsidP="00643A69">
      <w:pPr>
        <w:pStyle w:val="p7"/>
        <w:shd w:val="clear" w:color="auto" w:fill="FFFFFF"/>
        <w:rPr>
          <w:color w:val="000000"/>
        </w:rPr>
      </w:pPr>
      <w:r>
        <w:rPr>
          <w:color w:val="000000"/>
          <w:lang w:val="en-US"/>
        </w:rPr>
        <w:t>e</w:t>
      </w:r>
      <w:r w:rsidRPr="00643A69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643A69">
        <w:rPr>
          <w:color w:val="000000"/>
        </w:rPr>
        <w:t>:</w:t>
      </w:r>
      <w:r>
        <w:rPr>
          <w:color w:val="000000"/>
          <w:lang w:val="en-US"/>
        </w:rPr>
        <w:t>info</w:t>
      </w:r>
      <w:r w:rsidRPr="00643A69">
        <w:rPr>
          <w:color w:val="000000"/>
        </w:rPr>
        <w:t>@</w:t>
      </w:r>
      <w:r>
        <w:rPr>
          <w:color w:val="000000"/>
          <w:lang w:val="en-US"/>
        </w:rPr>
        <w:t>initium</w:t>
      </w:r>
      <w:r w:rsidRPr="00643A69">
        <w:rPr>
          <w:color w:val="000000"/>
        </w:rPr>
        <w:t>-</w:t>
      </w:r>
      <w:r>
        <w:rPr>
          <w:color w:val="000000"/>
          <w:lang w:val="en-US"/>
        </w:rPr>
        <w:t>pharm</w:t>
      </w:r>
      <w:r w:rsidRPr="00643A69">
        <w:rPr>
          <w:color w:val="000000"/>
        </w:rPr>
        <w:t>.</w:t>
      </w:r>
      <w:r>
        <w:rPr>
          <w:color w:val="000000"/>
          <w:lang w:val="en-US"/>
        </w:rPr>
        <w:t>com</w:t>
      </w: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  <w:r>
        <w:t xml:space="preserve"> Директор ИДКЭЛС                                                                           А.Н. Васильев</w:t>
      </w: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</w:p>
    <w:p w:rsidR="00643A69" w:rsidRDefault="00643A69" w:rsidP="00643A69">
      <w:pPr>
        <w:spacing w:line="192" w:lineRule="auto"/>
        <w:jc w:val="both"/>
      </w:pPr>
      <w:r>
        <w:t xml:space="preserve"> Генеральный директор </w:t>
      </w:r>
    </w:p>
    <w:p w:rsidR="00643A69" w:rsidRDefault="00643A69" w:rsidP="00643A69">
      <w:pPr>
        <w:spacing w:line="192" w:lineRule="auto"/>
        <w:jc w:val="both"/>
      </w:pPr>
      <w:r>
        <w:lastRenderedPageBreak/>
        <w:t xml:space="preserve"> ОАО « </w:t>
      </w:r>
      <w:proofErr w:type="spellStart"/>
      <w:r>
        <w:t>Татхимфармпрепараты</w:t>
      </w:r>
      <w:proofErr w:type="spellEnd"/>
      <w:r>
        <w:t xml:space="preserve">»                                                        </w:t>
      </w:r>
      <w:proofErr w:type="spellStart"/>
      <w:r>
        <w:t>А.К.Хамаев</w:t>
      </w:r>
      <w:proofErr w:type="spellEnd"/>
    </w:p>
    <w:p w:rsidR="00643A69" w:rsidRDefault="00643A69" w:rsidP="00643A69">
      <w:pPr>
        <w:spacing w:line="192" w:lineRule="auto"/>
        <w:jc w:val="both"/>
        <w:rPr>
          <w:sz w:val="28"/>
          <w:u w:val="single"/>
        </w:rPr>
      </w:pPr>
    </w:p>
    <w:p w:rsidR="007048C9" w:rsidRDefault="007048C9"/>
    <w:sectPr w:rsidR="007048C9">
      <w:pgSz w:w="11906" w:h="16838"/>
      <w:pgMar w:top="1134" w:right="566" w:bottom="179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69"/>
    <w:rsid w:val="004220BD"/>
    <w:rsid w:val="00643A69"/>
    <w:rsid w:val="00696615"/>
    <w:rsid w:val="007048C9"/>
    <w:rsid w:val="009731D4"/>
    <w:rsid w:val="00D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A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3A69"/>
    <w:pPr>
      <w:keepNext/>
      <w:ind w:firstLine="54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43A69"/>
    <w:pPr>
      <w:keepNext/>
      <w:spacing w:line="192" w:lineRule="auto"/>
      <w:ind w:left="360"/>
      <w:jc w:val="both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qFormat/>
    <w:rsid w:val="00643A69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643A69"/>
    <w:pPr>
      <w:keepNext/>
      <w:ind w:firstLine="540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43A69"/>
    <w:pPr>
      <w:keepNext/>
      <w:spacing w:line="192" w:lineRule="auto"/>
      <w:ind w:firstLine="540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43A69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3A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3A6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43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43A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43A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3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43A69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43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43A69"/>
    <w:pPr>
      <w:spacing w:line="192" w:lineRule="auto"/>
      <w:ind w:firstLine="54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643A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7">
    <w:name w:val="p7"/>
    <w:basedOn w:val="a"/>
    <w:rsid w:val="00643A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43A69"/>
    <w:rPr>
      <w:color w:val="0000FF" w:themeColor="hyperlink"/>
      <w:u w:val="single"/>
    </w:rPr>
  </w:style>
  <w:style w:type="character" w:customStyle="1" w:styleId="s1">
    <w:name w:val="s1"/>
    <w:basedOn w:val="a0"/>
    <w:rsid w:val="00696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A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3A69"/>
    <w:pPr>
      <w:keepNext/>
      <w:ind w:firstLine="54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43A69"/>
    <w:pPr>
      <w:keepNext/>
      <w:spacing w:line="192" w:lineRule="auto"/>
      <w:ind w:left="360"/>
      <w:jc w:val="both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qFormat/>
    <w:rsid w:val="00643A69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643A69"/>
    <w:pPr>
      <w:keepNext/>
      <w:ind w:firstLine="540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43A69"/>
    <w:pPr>
      <w:keepNext/>
      <w:spacing w:line="192" w:lineRule="auto"/>
      <w:ind w:firstLine="540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43A69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3A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3A6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43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43A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43A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3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43A69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43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43A69"/>
    <w:pPr>
      <w:spacing w:line="192" w:lineRule="auto"/>
      <w:ind w:firstLine="54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643A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7">
    <w:name w:val="p7"/>
    <w:basedOn w:val="a"/>
    <w:rsid w:val="00643A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43A69"/>
    <w:rPr>
      <w:color w:val="0000FF" w:themeColor="hyperlink"/>
      <w:u w:val="single"/>
    </w:rPr>
  </w:style>
  <w:style w:type="character" w:customStyle="1" w:styleId="s1">
    <w:name w:val="s1"/>
    <w:basedOn w:val="a0"/>
    <w:rsid w:val="0069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itium-ph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647</Words>
  <Characters>4708</Characters>
  <Application>Microsoft Office Word</Application>
  <DocSecurity>0</DocSecurity>
  <Lines>162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Bibova</dc:creator>
  <cp:lastModifiedBy>Olga Bibova</cp:lastModifiedBy>
  <cp:revision>3</cp:revision>
  <dcterms:created xsi:type="dcterms:W3CDTF">2017-10-12T06:55:00Z</dcterms:created>
  <dcterms:modified xsi:type="dcterms:W3CDTF">2017-12-11T14:24:00Z</dcterms:modified>
</cp:coreProperties>
</file>